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39 BayWG (Bayern) — Ausbaupflicht</w:t>
      </w:r>
    </w:p>
    <w:p>
      <w:r>
        <w:rPr>
          <w:color w:val="555555"/>
          <w:sz w:val="18"/>
        </w:rPr>
        <w:t xml:space="preserve">Bayerisches Wassergesetz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Soweit es das Wohl der Allgemeinheit erfordert und die Finanzierung gesichert ist, sind</w:t>
      </w:r>
    </w:p>
    <w:p>
      <w:r>
        <w:t xml:space="preserve">1. die Träger der Unterhaltungslast nach Art. 22 Abs. 1 zum Ausbau eines Gewässers gemäß § 67 Abs. 2 WHG,</w:t>
      </w:r>
    </w:p>
    <w:p>
      <w:r>
        <w:t xml:space="preserve">2. abweichend von Nr. 1 der Freistaat Bayern für Gewässer erster Ordnung zum Ausbau gemäß § 67 Abs. 2 Satz 3 WHG,</w:t>
      </w:r>
    </w:p>
    <w:p>
      <w:r>
        <w:t xml:space="preserve">3. der Freistaat Bayern für Wildbäche sowie für Gewässer dritter Ordnung als Träger der Unterhaltungslast nach Art. 22 Abs. 2 Nr. 1 und 2 zum Ausbau gemäß § 67 Abs. 2 WHG</w:t>
      </w:r>
    </w:p>
    <w:p>
      <w:r>
        <w:t xml:space="preserve">verpflichtet.</w:t>
      </w:r>
    </w:p>
    <w:p>
      <w:r>
        <w:t xml:space="preserve">(2) Die Aufgabe nach Abs. 1 ist eine öffentlich-rechtliche Verpflichtung.</w:t>
      </w:r>
    </w:p>
    <w:p>
      <w:r>
        <w:rPr>
          <w:color w:val="555555"/>
          <w:sz w:val="17"/>
        </w:rPr>
        <w:t xml:space="preserve">Zitiervorschlag: Art 39 BayWG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https://recht.nulegal.eu/gesetze/BayWG/39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