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BayWG (Bayern) — Ausgleich für schutzgebietsbedingte Belastungen (Abweichend von § 52 Abs. 5 WHG)</w:t>
      </w:r>
    </w:p>
    <w:p>
      <w:r>
        <w:rPr>
          <w:color w:val="555555"/>
          <w:sz w:val="18"/>
        </w:rPr>
        <w:t xml:space="preserve">Bayerisches Wassergesetz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Setzt eine Anordnung nach § 52 Abs. 1 Satz 1 Nr. 1 oder 2 WHG, auch in Verbindung mit § 52 Abs. 2 und 3 WHG, erhöhte Anforderungen fest, die</w:t>
      </w:r>
    </w:p>
    <w:p>
      <w:r>
        <w:t xml:space="preserve">1. die ordnungsgemäße land- oder forstwirtschaftliche Nutzung einschränken oder</w:t>
      </w:r>
    </w:p>
    <w:p>
      <w:r>
        <w:t xml:space="preserve">2. Mehraufwendungen für den Bau und Betrieb land- und forstwirtschaftlicher Betriebsanlagen</w:t>
      </w:r>
    </w:p>
    <w:p>
      <w:r>
        <w:t xml:space="preserve">a) an bestehenden Betriebsstandorten oder</w:t>
      </w:r>
    </w:p>
    <w:p>
      <w:r>
        <w:t xml:space="preserve">b) an neuen Betriebsstandorten, soweit keine anderen Möglichkeiten der räumlichen Betriebsentwicklung bestehen oder geschaffen werden können,</w:t>
      </w:r>
    </w:p>
    <w:p>
      <w:r>
        <w:t xml:space="preserve">zur Folge haben,</w:t>
      </w:r>
    </w:p>
    <w:p>
      <w:r>
        <w:t xml:space="preserve">so ist für die dadurch verursachten wirtschaftlichen Nachteile ein angemessener Ausgleich zu leisten, soweit nicht eine Entschädigungspflicht nach § 52 Abs. 4 WHG besteht. Als Anordnungen nach Satz 1 Nr. 1 gelten auch für Wasserschutzgebiete erlassene Verbote oder Beschränkungen für die Anwendung von Pflanzenschutzmitteln. Satz 1 Nr. 2 gilt auch, wenn die Mehraufwendungen durch eine wasserschutzgebietsbezogene Anordnung in einer Rechtsverordnung nach § 62 Abs. 4 WHG verursacht werden.</w:t>
      </w:r>
    </w:p>
    <w:p>
      <w:r>
        <w:rPr>
          <w:color w:val="555555"/>
          <w:sz w:val="17"/>
        </w:rPr>
        <w:t xml:space="preserve">Zitiervorschlag: Art 32 BayWG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