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BayWG (Bayern) — Öffentliche Wasserversorgung, Wasser- und Heilquellenschutzgebiete (Zu § 6 Abs. 1 Nr. 4, §§ 12, 50 Abs. 5, abweichend von § 51 Abs. 1 Satz 1 Nr. 1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einer Rechtsverordnung nach § 50 Abs. 5 WHG kann bestimmt werden, dass § 101 Abs. 1 WHG für die Eigenüberwachung in Wasserschutzgebieten und Heilquellenschutzgebieten durch öffentlich-rechtliche Körperschaften oder von ihnen entsprechend beliehene Dritte Anwendung findet.</w:t>
      </w:r>
    </w:p>
    <w:p>
      <w:r>
        <w:t xml:space="preserve">(2) Wasserentnahmen zum Zweck der öffentlichen Trinkwasserversorgung der Bevölkerung haben Vorrang vor Wasserentnahmen für andere Zwecke.</w:t>
      </w:r>
    </w:p>
    <w:p>
      <w:r>
        <w:t xml:space="preserve">(3) Soweit es dem öffentlichen Interesse entspricht, können auf Antrag Wasserschutzgebiete auch für Gewässer, die der privaten Wassergewinnung dienen, ausgewiesen werden; § 51 Abs. 2 und § 52 WHG sowie Art. 32 gelten entsprechend.</w:t>
      </w:r>
    </w:p>
    <w:p>
      <w:r>
        <w:rPr>
          <w:color w:val="555555"/>
          <w:sz w:val="17"/>
        </w:rPr>
        <w:t xml:space="preserve">Zitiervorschlag: Art 31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