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30 BayWG (Bayern) — Erdaufschlüsse (Abweichend von § 49 WHG)</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Anzeige nach § 49 Abs. 1 Satz 1 WHG sind die zur Beurteilung erforderlichen Unterlagen beizufügen. Werden Dritte mit der Durchführung der Arbeiten beauftragt, so obliegt diesen die Anzeige. Bei erlaubnispflichtigen Gewässerbenutzungen, gestattungsbedürftigen Anlagen nach dem Bayerischen Abgrabungsgesetz oder nach der Bayerischen Bauordnung (BayBO) gilt der Antrag auf Genehmigung als Anzeige; in diesen Fällen kommt Abs. 2 nicht zur Anwendung. Im Vollzug des § 49 Abs. 1 Satz 3 WHG ist zuständige Behörde die Kreisverwaltungsbehörde in Abstimmung mit dem Wasserwirtschaftsamt.</w:t>
      </w:r>
    </w:p>
    <w:p>
      <w:r>
        <w:t xml:space="preserve">(2) Ist seit der Anzeige ein Monat vergangen, ohne dass eine Einstellungs- oder Beseitigungsanordnung nach § 49 Abs. 3 WHG ergangen ist, können die Arbeiten begonnen und so lange durchgeführt werden, bis auf das Grundwasser eingewirkt wird.</w:t>
      </w:r>
    </w:p>
    <w:p>
      <w:r>
        <w:t xml:space="preserve">(3) Ergibt sich, dass auf das Grundwasser eingewirkt wird, so sind die Arbeiten einzustellen, bis die Gewässerbenutzung oder der Gewässerausbau vorzeitig zugelassen oder die erforderliche Erlaubnis oder Bewilligung erteilt oder der Plan festgestellt oder genehmigt ist; dies gilt nicht für erlaubnisfreie Grundwasserbenutzungen. Ist eine baurechtliche Genehmigung oder Zustimmung zu erteilen, so entfällt die wasserrechtliche Erlaubnis für das Einbringen von Stoffen in das Grundwasser.</w:t>
      </w:r>
    </w:p>
    <w:p>
      <w:r>
        <w:t xml:space="preserve">(4) Abs. 1 und 2 gelten nicht für Arbeiten, die von Staatsbaubehörden oder unter deren Aufsicht ausgeführt werden oder die der bergbehördlichen Aufsicht unterliegen.</w:t>
      </w:r>
    </w:p>
    <w:p>
      <w:r>
        <w:t xml:space="preserve">(5) Wird durch Arbeiten, die der bergbehördlichen Aufsicht unterliegen, unbefugt oder unbeabsichtigt Grundwasser erschlossen, so ist die Bergbehörde für die zum Schutz des Grundwassers erforderlichen Anordnungen zuständig.</w:t>
      </w:r>
    </w:p>
    <w:p>
      <w:r>
        <w:rPr>
          <w:color w:val="555555"/>
          <w:sz w:val="17"/>
        </w:rPr>
        <w:t xml:space="preserve">Zitiervorschlag: Art 30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