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BayWG (Bayern) — Gewässerverzeichnisse</w:t>
      </w:r>
    </w:p>
    <w:p>
      <w:r>
        <w:rPr>
          <w:color w:val="555555"/>
          <w:sz w:val="18"/>
        </w:rPr>
        <w:t xml:space="preserve">Bayerisches Wassergesetz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Das Staatsministerium erlässt die Verzeichnisse über die Gewässer zweiter Ordnung und die Wildbäche durch Allgemeinverfügung. In das Verzeichnis der Gewässer zweiter Ordnung sind die nicht zur ersten Ordnung gehörenden Gewässer aufzunehmen, die wasserwirtschaftlich, insbesondere wegen ihrer Wasser-, Geschiebe-, Schwebstoff- oder Eisführung, wegen ihrer ökologischen Funktionen oder wegen ihrer Nutzbarkeit von größerer Bedeutung sind. In das Verzeichnis der Wildbäche sind die Gewässer dritter Ordnung einzutragen, die zumindest streckenweise wildbachtypische Eigenschaften aufweisen. Die Aufnahme in ein Gewässerverzeichnis nach Sätzen 1 bis 3 kann auf einzelne Gewässerabschnitte beschränkt werden.</w:t>
      </w:r>
    </w:p>
    <w:p>
      <w:r>
        <w:t xml:space="preserve">(2) Das Staatsministerium gibt ein Verzeichnis aller Wasserkörper bekannt. Es umfasst Oberflächenwasserkörper und Grundwasserkörper und ordnet sie Planungseinheiten zu.</w:t>
      </w:r>
    </w:p>
    <w:p>
      <w:r>
        <w:rPr>
          <w:color w:val="555555"/>
          <w:sz w:val="17"/>
        </w:rPr>
        <w:t xml:space="preserve">Zitiervorschlag: Art 3 BayWG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https://recht.nulegal.eu/gesetze/BayWG/3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