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BayWG (Bayern) — Beschränkung und Erweiterung der erlaubnisfreien Benutzungen (Zu § 46 Abs. 3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Erlaubnis oder eine Bewilligung ist außer in den Fällen des § 46 Abs. 1 WHG nicht erforderlich für das Entnehmen, Zutagefördern, Zutageleiten oder Ableiten von Grundwasser in geringen Mengen für Zwecke der Land- und Forstwirtschaft und des Gartenbaus zur Erhaltung der Bodenfruchtbarkeit.</w:t>
      </w:r>
    </w:p>
    <w:p>
      <w:r>
        <w:t xml:space="preserve">(2) Das Staatsministerium kann durch Rechtsverordnung für einzelne Gebiete die erlaubnisfreien Benutzungen nach Abs. 1 einschränken und die in § 46 Abs. 3 WHG vorgesehenen Bestimmungen treffen, wenn es der Grundwasservorrat nach Menge und Güte erfordert oder zulässt.</w:t>
      </w:r>
    </w:p>
    <w:p>
      <w:r>
        <w:rPr>
          <w:color w:val="555555"/>
          <w:sz w:val="17"/>
        </w:rPr>
        <w:t xml:space="preserve">Zitiervorschlag: Art 29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