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BayWG (Bayern) — Festsetzung der Kostenbeiträge, des Kostenersatzes und der Kostenvorschüsse (Abweichend von § 42 Abs. 2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über die Kostenbeiträge, den Kostenersatz oder über die Kostenvorschüsse der Beteiligten keine Einigung erzielt, so werden sie von der Kreisverwaltungsbehörde festgesetzt. Wenn nichts anderes bestimmt ist, so richtet sich die Höhe des Kostenbeitrags und der Kostenvorschüsse nach Art. 26 Abs. 2.</w:t>
      </w:r>
    </w:p>
    <w:p>
      <w:r>
        <w:t xml:space="preserve">(2) Bleiben wiederkehrende Unterhaltungsmaßnahmen im Wesentlichen gleich, so kann die Kreisverwaltungsbehörde das Verhältnis der Kostenbeiträge der Pflichtigen auch für die Zukunft festsetzen. Das Gleiche gilt, wenn vor Durchführung einer Unterhaltungsmaßnahme Träger der Unterhaltungslast oder Pflichtige nach Art. 26 Abs. 2 die Festsetzung beantragen.</w:t>
      </w:r>
    </w:p>
    <w:p>
      <w:r>
        <w:t xml:space="preserve">(3) Die Kreisverwaltungsbehörde erteilt der unterhaltungspflichtigen Person, der ein Kostenbeitrag, Kostenersatz oder Kostenvorschuss zuerkannt wurde, auf Antrag eine vollstreckbare Ausfertigung des Festsetzungsbescheids, wenn die Voraussetzungen der Art. 19 und 23 des Bayerischen Verwaltungszustellungs- und Vollstreckungsgesetzes (VwZVG) gegeben sind. Für die Vollstreckung der Forderung gelten die Vorschriften des Achten Buchs der Zivilprozessordnung über die Zwangsvollstreckung mit Ausnahme der §§ 883 bis 898, soweit Art. 25 bis 28 VwZVG nichts anderes bestimmen.</w:t>
      </w:r>
    </w:p>
    <w:p>
      <w:r>
        <w:rPr>
          <w:color w:val="555555"/>
          <w:sz w:val="17"/>
        </w:rPr>
        <w:t xml:space="preserve">Zitiervorschlag: Art 27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