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BayWG (Bayern) — Übertragung und Aufteilung der Unterhaltungslast (Abweichend von § 40 Abs. 2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öffentlich-rechtlichen Vertrag, der für Gewässer dritter Ordnung der Zustimmung der Kreisverwaltungsbehörde bedarf, können Dritte die Unterhaltungslast übernehmen. Die Zustimmung kann widerrufen werden, wenn die übernommenen Verpflichtungen nicht ordnungsgemäß erfüllt werden.</w:t>
      </w:r>
    </w:p>
    <w:p>
      <w:r>
        <w:t xml:space="preserve">(2) Bürgerlich-rechtliche Verpflichtungen Dritter zur Unterhaltung von Gewässern lassen die Unterhaltungslast als solche unberührt.</w:t>
      </w:r>
    </w:p>
    <w:p>
      <w:r>
        <w:t xml:space="preserve">(3) Die Kreisverwaltungsbehörde kann die Unterhaltungslast ganz oder teilweise auf Dritte übertragen, wenn und soweit die Unterhaltung deren Interessen dient oder der Aufwand für die Unterhaltung durch sie verursacht wird.</w:t>
      </w:r>
    </w:p>
    <w:p>
      <w:r>
        <w:t xml:space="preserve">(4) Haben mehrere Unterhaltungspflichtige dieselbe Gewässerstrecke teilweise zu unterhalten, so kann die Kreisverwaltungsbehörde entweder den Unterhaltungspflichtigen eine angemessene Strecke des Gewässers zur vollständigen Unterhaltung zuweisen oder die Unterhaltungsarbeiten zwischen den Unterhaltungspflichtigen angemessen aufteilen oder bestimmen, dass einzelne unterhaltungspflichtige Personen anstelle der Unterhaltung einen Kostenbeitrag an den oder die verbleibenden Unterhaltungspflichtigen leisten.</w:t>
      </w:r>
    </w:p>
    <w:p>
      <w:r>
        <w:rPr>
          <w:color w:val="555555"/>
          <w:sz w:val="17"/>
        </w:rPr>
        <w:t xml:space="preserve">Zitiervorschlag: Art 23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