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BayWG (Bayern) — Unterhaltungslast (Zu § 40 Abs. 1 Satz 1 WHG)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Es obliegt die Unterhaltung</w:t>
      </w:r>
    </w:p>
    <w:p>
      <w:r>
        <w:t xml:space="preserve">1. der Gewässer erster Ordnung dem Freistaat Bayern unbeschadet der Aufgaben des Bundes als Eigentümer von Bundeswasserstraßen,</w:t>
      </w:r>
    </w:p>
    <w:p>
      <w:r>
        <w:t xml:space="preserve">2. der Gewässer zweiter Ordnung dem Freistaat Bayern,</w:t>
      </w:r>
    </w:p>
    <w:p>
      <w:r>
        <w:t xml:space="preserve">3. der Gewässer dritter Ordnung den Gemeinden als eigene Aufgabe, soweit nicht Wasser- und Bodenverbände dafür bestehen, in gemeindefreien Gebieten den Eigentümern.</w:t>
      </w:r>
    </w:p>
    <w:p>
      <w:r>
        <w:t xml:space="preserve">(2) Anstelle des Trägers der Unterhaltungslast nach Abs. 1 Nr. 3 obliegen dem Freistaat Bayern</w:t>
      </w:r>
    </w:p>
    <w:p>
      <w:r>
        <w:t xml:space="preserve">1. die Unterhaltung der Gewässer, die zugleich die Grenze der Bundesrepublik Deutschland bilden,</w:t>
      </w:r>
    </w:p>
    <w:p>
      <w:r>
        <w:t xml:space="preserve">2. die Unterhaltung und der Betrieb von Wasserspeichern mit überwiegend übergebietlicher wasserwirtschaftlicher Bedeutung, die der öffentlichen Wasserversorgung, dem Gewässerschutz, dem Hochwasserschutz und der Niedrigwasseraufhöhung dienen,</w:t>
      </w:r>
    </w:p>
    <w:p>
      <w:r>
        <w:t xml:space="preserve">3. die Unterhaltung der ausgebauten und als solche im Wildbachverzeichnis eingetragenen Wildbachstrecken.</w:t>
      </w:r>
    </w:p>
    <w:p>
      <w:r>
        <w:t xml:space="preserve">(3) Den Unternehmern von Wasserbenutzungsanlagen oder sonstigen Anlagen in oder an Gewässern obliegt die Unterhaltung des Gewässers insoweit, als sie durch diese Anlagen bedingt ist.</w:t>
      </w:r>
    </w:p>
    <w:p>
      <w:r>
        <w:t xml:space="preserve">(4) Den Baulastträgern öffentlicher Verkehrsanlagen obliegt die Unterhaltung des Gewässers insoweit, als sie zum Schutz dieser Anlagen erforderlich ist.</w:t>
      </w:r>
    </w:p>
    <w:p>
      <w:r>
        <w:t xml:space="preserve">(5) Die Unterhaltung von Hafengewässern obliegt dem Träger des Hafens.</w:t>
      </w:r>
    </w:p>
    <w:p>
      <w:r>
        <w:rPr>
          <w:color w:val="555555"/>
          <w:sz w:val="17"/>
        </w:rPr>
        <w:t xml:space="preserve">Zitiervorschlag: Art 22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