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BayWG (Bayern) — Gewässerrandstreifen (Zu § 38 WHG, abweichend von § 38 Abs. 3 bis 5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Gewässerrandstreifen ist an Gewässern erster und zweiter Ordnung auf Grundstücken des Freistaates Bayern 10 Meter breit. Auf Gewässerrandstreifen nach Satz 1 sind</w:t>
      </w:r>
    </w:p>
    <w:p>
      <w:r>
        <w:t xml:space="preserve">1. die ackerbauliche und gartenbauliche Nutzung sowie der Einsatz und die Lagerung von Dünge- und Pflanzenschutzmitteln, ausgenommen Wundverschlussmittel zur Baumpflege und Wildbissschutzmittel, verboten und</w:t>
      </w:r>
    </w:p>
    <w:p>
      <w:r>
        <w:t xml:space="preserve">2. Bäume und Sträucher zu erhalten, soweit die Beseitigung nicht für den Ausbau oder die Unterhaltung der Gewässer, zur Pflege des Bestandes, aus besonderen Artenschutzgründen oder zur Gefahrenabwehr erforderlich ist oder im Rahmen ordnungsgemäßer Forstwirtschaft erfolgt.</w:t>
      </w:r>
    </w:p>
    <w:p>
      <w:r>
        <w:t xml:space="preserve">§ 38 Abs. 5 WHG gilt entsprechend. Art. 16 Abs. 1 Satz 1 Nr. 3 des Bayerischen Naturschutzgesetzes bleibt unberührt.</w:t>
      </w:r>
    </w:p>
    <w:p>
      <w:r>
        <w:t xml:space="preserve">(2) Über Abs. 1 hinaus können im Rahmen der zur Verfügung stehenden Haushaltsmittel die Zwecke des Gewässerrandstreifens an allen Gewässern durch Einbeziehung der Grundstücke oder der Flächen in eine Fördermaßnahme erreicht werden, die auch dem Schutz des jeweiligen Gewässers dient.</w:t>
      </w:r>
    </w:p>
    <w:p>
      <w:r>
        <w:t xml:space="preserve">(3) Für die mit Art. 16 Abs. 1 Satz 1 Nr. 3 des Bayerischen Naturschutzgesetzes einhergehenden Einschränkungen bisher zulässiger und tatsächlich ausgeübter Nutzungen wird nach Maßgabe der verfügbaren Haushaltsmittel ein angemessener Geldausgleich gewährt.</w:t>
      </w:r>
    </w:p>
    <w:p>
      <w:r>
        <w:rPr>
          <w:color w:val="555555"/>
          <w:sz w:val="17"/>
        </w:rPr>
        <w:t xml:space="preserve">Zitiervorschlag: Art 21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