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BayWG (Bayern) — Einteilung der oberirdischen Gewässer</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oberirdischen Gewässer mit Ausnahme des aus Quellen wild abfließenden Wassers werden nach ihrer wasserwirtschaftlichen Bedeutung eingeteilt in:</w:t>
      </w:r>
    </w:p>
    <w:p>
      <w:r>
        <w:t xml:space="preserve">1. Gewässer erster Ordnung:</w:t>
      </w:r>
    </w:p>
    <w:p>
      <w:r>
        <w:t xml:space="preserve">die Bundeswasserstraßen und die in dem anliegenden Verzeichnis (Anlage 1) aufgeführten Gewässer,</w:t>
      </w:r>
    </w:p>
    <w:p>
      <w:r>
        <w:t xml:space="preserve">2. Gewässer zweiter Ordnung:</w:t>
      </w:r>
    </w:p>
    <w:p>
      <w:r>
        <w:t xml:space="preserve">Gewässer, die in das nach Art. 3 Abs. 1 Satz 2 aufzustellende Verzeichnis eingetragen sind,</w:t>
      </w:r>
    </w:p>
    <w:p>
      <w:r>
        <w:t xml:space="preserve">3. Gewässer dritter Ordnung:</w:t>
      </w:r>
    </w:p>
    <w:p>
      <w:r>
        <w:t xml:space="preserve">alle anderen Gewässer.</w:t>
      </w:r>
    </w:p>
    <w:p>
      <w:r>
        <w:t xml:space="preserve">(2) Altarme, die mit dem Gewässer bei Mittelwasserstand verbunden sind, Nebenarme, Flutmulden, Hafengewässer und ähnliche Verzweigungen eines Gewässers (ausgenommen Seitenkanäle) gehören zu der Ordnung des Gewässers an der Stelle, an der das Seitengewässer vom Hauptgewässer abzweigt, soweit in Anlage 1 zu diesem Gesetz oder im Verzeichnis der Gewässer zweiter Ordnung (Art. 3) nichts anderes bestimmt ist.</w:t>
      </w:r>
    </w:p>
    <w:p>
      <w:r>
        <w:t xml:space="preserve">(3) Soll ein Gewässer oder eine Gewässerstrecke mit nur örtlicher Bedeutung die Eigenschaft einer Bundeswasserstraße erhalten oder verlieren, so kann das Staatsministerium für Umwelt und Verbraucherschutz (Staatsministerium) die hierfür nach § 2 Abs. 1 Satz 1 des Bundeswasserstraßengesetzes erforderliche Vereinbarung mit dem Bund abschließen. Das Staatsministerium wird ermächtigt, in diesem Fall durch Rechtsverordnung die Ordnung des Gewässers zu bestimmen.</w:t>
      </w:r>
    </w:p>
    <w:p>
      <w:r>
        <w:rPr>
          <w:color w:val="555555"/>
          <w:sz w:val="17"/>
        </w:rPr>
        <w:t xml:space="preserve">Zitiervorschlag: Art 2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