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BayWG (Bayern) — Verlassenes Gewässerbett, Inseln (Zu § 4 Abs. 5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ein Gewässerbett vom Wasser verlassen oder tritt in einem Gewässer eine Insel hervor, die den Mittelwasserstand überragt, so bleibt das Eigentum an den hierdurch zutage getretenen Landflächen unverändert.</w:t>
      </w:r>
    </w:p>
    <w:p>
      <w:r>
        <w:t xml:space="preserve">(2) Art. 11 und 12 gelten für Inseln entsprechend.</w:t>
      </w:r>
    </w:p>
    <w:p>
      <w:r>
        <w:rPr>
          <w:color w:val="555555"/>
          <w:sz w:val="17"/>
        </w:rPr>
        <w:t xml:space="preserve">Zitiervorschlag: Art 13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