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BayWG (Bayern) — Uferlinie (Zu § 4 Abs. 5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Grenze zwischen dem Gewässer und den Ufergrundstücken wird durch die Linie des Mittelwasserstands unter besonderer Berücksichtigung der Grenze des Pflanzenwuchses (Uferlinie) bestimmt.</w:t>
      </w:r>
    </w:p>
    <w:p>
      <w:r>
        <w:t xml:space="preserve">(2) Die Uferlinie wird, falls erforderlich, durch die Kreisverwaltungsbehörde festgestellt und auf Kosten desjenigen, der die Kosten der Uferlinienfeststellung zu tragen hat, kenntlich gemacht.</w:t>
      </w:r>
    </w:p>
    <w:p>
      <w:r>
        <w:rPr>
          <w:color w:val="555555"/>
          <w:sz w:val="17"/>
        </w:rPr>
        <w:t xml:space="preserve">Zitiervorschlag: Art 12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