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BayWG (Bayern) — Wiederherstellung eines Gewässers (Zu § 4 Abs. 5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Hat ein Gewässer durch natürliche Ereignisse sein bisheriges Bett verlassen, so sind die davon Betroffenen insgesamt oder einzeln berechtigt, den früheren Zustand auf ihre Kosten wieder herzustellen.</w:t>
      </w:r>
    </w:p>
    <w:p>
      <w:r>
        <w:t xml:space="preserve">(2) Das Recht zur Wiederherstellung erlischt, wenn die Wiederherstellung nicht binnen fünf Jahren, gerechnet vom Schluss des Jahres, in dem sich das Gewässer verändert hat, ausgeführt ist. Die Kreisverwaltungsbehörde kann die Frist zur Wiederherstellung des Gewässers im Einzelfall angemessen verlängern, wenn mit der Wiederherstellung fristgerecht begonnen wurde.</w:t>
      </w:r>
    </w:p>
    <w:p>
      <w:r>
        <w:rPr>
          <w:color w:val="555555"/>
          <w:sz w:val="17"/>
        </w:rPr>
        <w:t xml:space="preserve">Zitiervorschlag: Art 10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