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91 BayVwVfG (Bayern) — Beschlußfassung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Beschlüsse werden mit Stimmenmehrheit gefaßt. Bei Stimmengleichheit entscheidet die Stimme des Vorsitzenden, wenn er stimmberechtigt ist; sonst gilt Stimmengleichheit als Ablehnung.</w:t>
      </w:r>
    </w:p>
    <w:p>
      <w:r>
        <w:rPr>
          <w:color w:val="555555"/>
          <w:sz w:val="17"/>
        </w:rPr>
        <w:t xml:space="preserve">Zitiervorschlag: Art 91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https://recht.nulegal.eu/gesetze/BayVwVfG/91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