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BayVwVfG (Bayern) — Kosten der Amtshilfe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ersuchende Behörde hat der ersuchten Behörde für die Amtshilfe keine Verwaltungsgebühr zu entrichten. Besondere Aufwendungen hat sie der ersuchten Behörde auf Anforderung zu erstatten, wenn sie 35 € übersteigen. Leisten Behörden desselben Rechtsträgers einander Amtshilfe, so werden die Aufwendungen nicht erstattet.</w:t>
      </w:r>
    </w:p>
    <w:p>
      <w:r>
        <w:t xml:space="preserve">(2) Nimmt die ersuchte Behörde zur Durchführung der Amtshilfe eine kostenpflichtige Amtshandlung vor, so stehen ihr die von einem Dritten hierfür geschuldeten Kosten (Verwaltungsgebühren, Benutzungsgebühren und Auslagen) zu.</w:t>
      </w:r>
    </w:p>
    <w:p>
      <w:r>
        <w:rPr>
          <w:color w:val="555555"/>
          <w:sz w:val="17"/>
        </w:rPr>
        <w:t xml:space="preserve">Zitiervorschlag: Art 8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