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79 BayVwVfG (Bayern) — Rechtsbehelfe gegen Verwaltungsakte</w:t>
      </w:r>
    </w:p>
    <w:p>
      <w:r>
        <w:rPr>
          <w:color w:val="555555"/>
          <w:sz w:val="18"/>
        </w:rPr>
        <w:t xml:space="preserve">Bayerisches Verwaltungsverfahrensgesetz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förmliche Rechtsbehelfe gegen Verwaltungsakte gilt die Verwaltungsgerichtsordnung, soweit nicht durch Gesetz etwas anderes bestimmt ist; im übrigen gelten die Vorschriften dieses Gesetzes.</w:t>
      </w:r>
    </w:p>
    <w:p>
      <w:r>
        <w:t xml:space="preserve">[Amtl. Anm.:] BGBl. FN 340-1</w:t>
      </w:r>
    </w:p>
    <w:p>
      <w:r>
        <w:rPr>
          <w:color w:val="555555"/>
          <w:sz w:val="17"/>
        </w:rPr>
        <w:t xml:space="preserve">Zitiervorschlag: Art 79 BayVwVfG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https://recht.nulegal.eu/gesetze/BayVwVfG/79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