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78a BayVwVfG (Bayern) — Anwendung des Gesetzes über die Umweltverträglichkeitsprüfung</w:t>
      </w:r>
    </w:p>
    <w:p>
      <w:r>
        <w:rPr>
          <w:color w:val="555555"/>
          <w:sz w:val="18"/>
        </w:rPr>
        <w:t xml:space="preserve">Bayerisches Verwaltungsverfahrensgesetz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Ist in Rechtsvorschriften des Freistaates Bayern für Vorhaben ein Verwaltungsverfahren mit Umweltverträglichkeitsprüfung vorgeschrieben, so gelten hierfür die §§ 2 bis 4, 15 bis 23, 24 Abs. 1, §§ 25 bis 30, 31 Abs. 1, 2 Satz 1 Nr. 2 bis 6, Satz 2 bis 4 und Abs. 4, §§ 32, 54 bis 59, 64, 72, 73 Abs. 1 Nr. 1 und Abs. 2 des Gesetzes über die Umweltverträglichkeitsprüfung (UVPG) mit folgenden Maßgaben entsprechend:</w:t>
      </w:r>
    </w:p>
    <w:p>
      <w:r>
        <w:t xml:space="preserve">1. Abweichend von § 18 Abs. 1 Satz 4 UVPG entfällt der Erörterungstermin, wenn für die Entscheidung über die Zulässigkeit des Vorhabens ein Verwaltungsverfahren ohne Erörterungstermin vorgeschrieben ist oder die zuständige Behörde einen Erörterungstermin nicht für erforderlich hält.</w:t>
      </w:r>
    </w:p>
    <w:p>
      <w:r>
        <w:t xml:space="preserve">2. Abweichend von § 73 Abs. 1 Nr. 1 UVPG sind die Vorhaben getrennt nach den im jeweiligen Fachrecht genannten Vorhabenarten mitzuteilen.</w:t>
      </w:r>
    </w:p>
    <w:p>
      <w:r>
        <w:t xml:space="preserve">3. Verweisungen des UVPG auf das Verwaltungsverfahrensgesetz des Bundes gelten als Verweisungen auf die entsprechenden Vorschriften dieses Gesetzes.</w:t>
      </w:r>
    </w:p>
    <w:p>
      <w:r>
        <w:t xml:space="preserve">Im Übrigen gelten die Vorschriften dieses Gesetzes.</w:t>
      </w:r>
    </w:p>
    <w:p>
      <w:r>
        <w:rPr>
          <w:color w:val="555555"/>
          <w:sz w:val="17"/>
        </w:rPr>
        <w:t xml:space="preserve">Zitiervorschlag: Art 78a BayVwVfG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https://recht.nulegal.eu/gesetze/BayVwVfG/78a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