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71a BayVwVfG (Bayern) — Anwendbarkeit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durch Rechtsvorschrift angeordnet, dass ein Verwaltungsverfahren über eine einheitliche Stelle abgewickelt werden kann, so gelten die Vorschriften dieses Abschnitts und, soweit sich aus ihnen nichts Abweichendes ergibt, die übrigen Vorschriften dieses Gesetzes.</w:t>
      </w:r>
    </w:p>
    <w:p>
      <w:r>
        <w:t xml:space="preserve">(2) Der zuständigen Behörde obliegen die Pflichten aus Art. 71b Abs. 3, 4 und 6, Art. 71c Abs. 2 und Art. 71e auch dann, wenn sich der Antragsteller oder Anzeigepflichtige unmittelbar an die zuständige Behörde wendet.</w:t>
      </w:r>
    </w:p>
    <w:p>
      <w:r>
        <w:rPr>
          <w:color w:val="555555"/>
          <w:sz w:val="17"/>
        </w:rPr>
        <w:t xml:space="preserve">Zitiervorschlag: Art 71a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