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BayVwVfG (Bayern) — Durchführung der Amtshilfe</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Zulässigkeit der Maßnahme, die durch die Amtshilfe verwirklicht werden soll, richtet sich nach dem für die ersuchende Behörde, die Durchführung der Amtshilfe nach dem für die ersuchte Behörde geltenden Recht.</w:t>
      </w:r>
    </w:p>
    <w:p>
      <w:r>
        <w:t xml:space="preserve">(2) Die ersuchende Behörde trägt gegenüber der ersuchten Behörde die Verantwortung für die Rechtmäßigkeit der zu treffenden Maßnahme. Die ersuchte Behörde ist für die Durchführung der Amtshilfe verantwortlich.</w:t>
      </w:r>
    </w:p>
    <w:p>
      <w:r>
        <w:rPr>
          <w:color w:val="555555"/>
          <w:sz w:val="17"/>
        </w:rPr>
        <w:t xml:space="preserve">Zitiervorschlag: Art 7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