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62 BayVwVfG (Bayern) — Ergänzende Anwendung von Vorschriften</w:t>
      </w:r>
    </w:p>
    <w:p>
      <w:r>
        <w:rPr>
          <w:color w:val="555555"/>
          <w:sz w:val="18"/>
        </w:rPr>
        <w:t xml:space="preserve">Bayerisches Verwaltungsverfahrensgesetz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Soweit sich aus den Art. 54 bis 61 nichts Abweichendes ergibt, gelten die übrigen Vorschriften dieses Gesetzes. Ergänzend gelten die Vorschriften des Bürgerlichen Gesetzbuchs entsprechend.</w:t>
      </w:r>
    </w:p>
    <w:p>
      <w:r>
        <w:t xml:space="preserve">[Amtl. Anm.:] BGBl. FN 400-2</w:t>
      </w:r>
    </w:p>
    <w:p>
      <w:r>
        <w:rPr>
          <w:color w:val="555555"/>
          <w:sz w:val="17"/>
        </w:rPr>
        <w:t xml:space="preserve">Zitiervorschlag: Art 62 BayVwVfG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https://recht.nulegal.eu/gesetze/BayVwVfG/62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