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BayVwVfG (Bayern) — Auswahl der Behörde</w:t>
      </w:r>
    </w:p>
    <w:p>
      <w:r>
        <w:rPr>
          <w:color w:val="555555"/>
          <w:sz w:val="18"/>
        </w:rPr>
        <w:t xml:space="preserve">Bayerisches Verwaltungsverfahrensgesetz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Kommen für die Amtshilfe mehrere Behörden in Betracht, so soll nach Möglichkeit eine Behörde der untersten Verwaltungsstufe des Verwaltungszweigs ersucht werden, dem die ersuchende Behörde angehört.</w:t>
      </w:r>
    </w:p>
    <w:p>
      <w:r>
        <w:rPr>
          <w:color w:val="555555"/>
          <w:sz w:val="17"/>
        </w:rPr>
        <w:t xml:space="preserve">Zitiervorschlag: Art 6 BayVwVfG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https://recht.nulegal.eu/gesetze/BayVwVfG/6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