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58 BayVwVfG (Bayern) — Zustimmung von Dritten und Behörden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öffentlich-rechtlicher Vertrag, der in Rechte eines Dritten eingreift, wird erst wirksam, wenn der Dritte schriftlich zustimmt.</w:t>
      </w:r>
    </w:p>
    <w:p>
      <w:r>
        <w:t xml:space="preserve">(2) Wird anstatt eines Verwaltungsakts, bei dessen Erlaß nach einer Rechtsvorschrift die Genehmigung, die Zustimmung oder das Einvernehmen einer anderen Behörde erforderlich ist, ein Vertrag geschlossen, so wird dieser erst wirksam, nachdem die andere Behörde in der vorgeschriebenen Form mitgewirkt hat.</w:t>
      </w:r>
    </w:p>
    <w:p>
      <w:r>
        <w:rPr>
          <w:color w:val="555555"/>
          <w:sz w:val="17"/>
        </w:rPr>
        <w:t xml:space="preserve">Zitiervorschlag: Art 58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58 BayVwVfG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