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57 BayVwVfG (Bayern) — Schriftform</w:t>
      </w:r>
    </w:p>
    <w:p>
      <w:r>
        <w:rPr>
          <w:color w:val="555555"/>
          <w:sz w:val="18"/>
        </w:rPr>
        <w:t xml:space="preserve">Bayerisches Verwaltungsverfahrensgesetz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Ein öffentlich-rechtlicher Vertrag ist schriftlich zu schließen, soweit nicht durch Rechtsvorschrift eine andere Form vorgeschrieben ist.</w:t>
      </w:r>
    </w:p>
    <w:p>
      <w:r>
        <w:rPr>
          <w:color w:val="555555"/>
          <w:sz w:val="17"/>
        </w:rPr>
        <w:t xml:space="preserve">Zitiervorschlag: Art 57 BayVwVfG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https://recht.nulegal.eu/gesetze/BayVwVfG/57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