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BayVwVfG (Bayern) — Nebenbestimmungen zum Verwaltungsakt</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Verwaltungsakt, auf den ein Anspruch besteht, darf mit einer Nebenbestimmung nur versehen werden, wenn sie durch Rechtsvorschrift zugelassen ist oder wenn sie sicherstellen soll, daß die gesetzlichen Voraussetzungen des Verwaltungsakts erfüllt werden.</w:t>
      </w:r>
    </w:p>
    <w:p>
      <w:r>
        <w:t xml:space="preserve">(2) Unbeschadet des Absatzes 1 darf ein Verwaltungsakt nach pflichtgemäßem Ermessen erlassen werden mit</w:t>
      </w:r>
    </w:p>
    <w:p>
      <w:r>
        <w:t xml:space="preserve">1. einer Bestimmung, nach der eine Vergünstigung oder Belastung zu einem bestimmten Zeitpunkt beginnt, endet oder für einen bestimmten Zeitraum gilt (Befristung),</w:t>
      </w:r>
    </w:p>
    <w:p>
      <w:r>
        <w:t xml:space="preserve">2. einer Bestimmung, nach der der Eintritt oder der Wegfall einer Vergünstigung oder einer Belastung von dem ungewissen Eintritt eines zukünftigen Ereignisses abhängt (Bedingung),</w:t>
      </w:r>
    </w:p>
    <w:p>
      <w:r>
        <w:t xml:space="preserve">3. einem Vorbehalt des Widerrufs</w:t>
      </w:r>
    </w:p>
    <w:p>
      <w:r>
        <w:t xml:space="preserve">oder verbunden werden mit</w:t>
      </w:r>
    </w:p>
    <w:p>
      <w:r>
        <w:t xml:space="preserve">4. einer Bestimmung, durch die dem Begünstigten ein Tun, Dulden oder Unterlassen vorgeschrieben wird (Auflage),</w:t>
      </w:r>
    </w:p>
    <w:p>
      <w:r>
        <w:t xml:space="preserve">5. einem Vorbehalt der nachträglichen Aufnahme, Änderung oder Ergänzung einer Auflage.</w:t>
      </w:r>
    </w:p>
    <w:p>
      <w:r>
        <w:t xml:space="preserve">(3) Eine Nebenbestimmung darf dem Zweck des Verwaltungsakts nicht zuwiderlaufen.</w:t>
      </w:r>
    </w:p>
    <w:p>
      <w:r>
        <w:rPr>
          <w:color w:val="555555"/>
          <w:sz w:val="17"/>
        </w:rPr>
        <w:t xml:space="preserve">Zitiervorschlag: Art 36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