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25a BayVwVfG (Bayern) — Frühe Öffentlichkeitsbeteiligung</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Behörde wirkt darauf hin, dass der Träger eines Vorhabens, das nicht nur unwesentliche Auswirkungen auf die Belange einer größeren Zahl von Dritten haben kann, die von dem Vorhaben betroffene Öffentlichkeit bei der Planung bereits frühzeitig vor Stellung des Antrags unterrichtet (frühe Öffentlichkeitsbeteiligung). Satz 1 gilt nicht, soweit die betroffene Öffentlichkeit bereits nach anderen Rechtsvorschriften vor der Antragstellung zu beteiligen ist. Beteiligungsrechte nach anderen Rechtsvorschriften bleiben unberührt.</w:t>
      </w:r>
    </w:p>
    <w:p>
      <w:r>
        <w:t xml:space="preserve">(2) Der Vorhabenträger soll die betroffene Öffentlichkeit über die Ziele des Vorhabens, die Mittel, es zu verwirklichen, und die voraussichtlichen Auswirkungen des Vorhabens unterrichten und Gelegenheit zur Äußerung und Erörterung geben.</w:t>
      </w:r>
    </w:p>
    <w:p>
      <w:r>
        <w:t xml:space="preserve">(3) Der Vorhabenträger soll Inhalt und abschließendes Ergebnis der frühen Öffentlichkeitsbeteiligung</w:t>
      </w:r>
    </w:p>
    <w:p>
      <w:r>
        <w:t xml:space="preserve">1. in einem verkehrsüblichen elektronischen Format unverzüglich, spätestens mit der Antragstellung, an die Behörde übermitteln und</w:t>
      </w:r>
    </w:p>
    <w:p>
      <w:r>
        <w:t xml:space="preserve">2. der betroffenen Öffentlichkeit mitteilen.</w:t>
      </w:r>
    </w:p>
    <w:p>
      <w:r>
        <w:t xml:space="preserve">Für die Übermittlung nach Satz 1 Nr. 1 soll auch ein maschinenlesbares Format verwendet werden, wenn auf Seiten des Vorhabenträgers und der Behörde die technischen Voraussetzungen vorliegen und kein unverhältnismäßig hoher Aufwand entsteht.</w:t>
      </w:r>
    </w:p>
    <w:p>
      <w:r>
        <w:rPr>
          <w:color w:val="555555"/>
          <w:sz w:val="17"/>
        </w:rPr>
        <w:t xml:space="preserve">Zitiervorschlag: Art 25a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https://recht.nulegal.eu/gesetze/BayVwVfG/25a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