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BayVwVfG (Bayern) — Beratung, Auskunft</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Behörde soll die Abgabe von Erklärungen, die Stellung von Anträgen oder die Berichtigung von Erklärungen oder Anträgen anregen, wenn diese offensichtlich nur versehentlich oder aus Unkenntnis unterblieben oder unrichtig abgegeben oder gestellt worden sind. Sie erteilt, soweit erforderlich, Auskunft über die den Beteiligten im Verwaltungsverfahren zustehenden Rechte und die ihnen obliegenden Pflichten.</w:t>
      </w:r>
    </w:p>
    <w:p>
      <w:r>
        <w:t xml:space="preserve">(2) Die Behörde erörtert, soweit erforderlich, bereits vor Stellung eines Antrags mit dem zukünftigen Antragsteller, welche Nachweise und Unterlagen von ihm zu erbringen sind und in welcher Weise das Verfahren beschleunigt werden kann. Soweit es der Verfahrensbeschleunigung dient, soll sie dem Antragsteller nach Eingang des Antrags unverzüglich Auskunft über die voraussichtliche Verfahrensdauer und die Vollständigkeit der Antragsunterlagen geben.</w:t>
      </w:r>
    </w:p>
    <w:p>
      <w:r>
        <w:rPr>
          <w:color w:val="555555"/>
          <w:sz w:val="17"/>
        </w:rPr>
        <w:t xml:space="preserve">Zitiervorschlag: Art 25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