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18 BayVwVfG (Bayern) — Vertreter für Beteiligte bei gleichem Interesse</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Sind an einem Verwaltungsverfahren mehr als 50 Personen im gleichen Interesse beteiligt, ohne vertreten zu sein, so kann die Behörde sie auffordern, innerhalb einer angemessenen Frist einen gemeinsamen Vertreter zu bestellen, wenn sonst die ordnungsmäßige Durchführung des Verwaltungsverfahrens beeinträchtigt wäre. Kommen sie der Aufforderung nicht fristgemäß nach, so kann die Behörde von Amts wegen einen gemeinsamen Vertreter bestellen. Vertreter kann nur eine natürliche Person sein.</w:t>
      </w:r>
    </w:p>
    <w:p>
      <w:r>
        <w:t xml:space="preserve">(2) Die Vertretungsmacht erlischt, sobald der Vertreter oder der Vertretene dies der Behörde schriftlich erklärt; der Vertreter kann eine solche Erklärung nur hinsichtlich aller Vertretenen abgeben. Gibt der Vertretene eine solche Erklärung ab, so soll er der Behörde zugleich mitteilen, ob er seine Eingabe aufrechterhält und ob er einen Bevollmächtigten bestellt hat.</w:t>
      </w:r>
    </w:p>
    <w:p>
      <w:r>
        <w:rPr>
          <w:color w:val="555555"/>
          <w:sz w:val="17"/>
        </w:rPr>
        <w:t xml:space="preserve">Zitiervorschlag: Art 18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