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BayVwVfG (Bayern) — Bestellung eines Empfangsbevollmächtigten</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Ein Beteiligter ohne Wohnsitz oder gewöhnlichen Aufenthalt, Sitz oder Geschäftsleitung im Inland hat der Behörde auf Verlangen innerhalb einer angemessenen Frist einen Empfangsbevollmächtigten im Inland zu benennen. Unterlässt er dies, gilt ein an ihn gerichtetes Schriftstück am siebten Tag nach der Aufgabe zur Post und ein elektronisch übermitteltes Dokument am vierten Tag nach der Absendung als zugegangen. Dies gilt nicht, wenn feststeht, dass das Dokument den Empfänger nicht oder zu einem späteren Zeitpunkt erreicht hat. Auf die Rechtsfolgen der Unterlassung ist der Beteiligte hinzuweisen.</w:t>
      </w:r>
    </w:p>
    <w:p>
      <w:r>
        <w:rPr>
          <w:color w:val="555555"/>
          <w:sz w:val="17"/>
        </w:rPr>
        <w:t xml:space="preserve">Zitiervorschlag: Art 15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