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BayVwSG (Bayern)</w:t>
      </w:r>
    </w:p>
    <w:p>
      <w:r>
        <w:rPr>
          <w:color w:val="555555"/>
          <w:sz w:val="18"/>
        </w:rPr>
        <w:t xml:space="preserve">Bayerisches Verwaltungsschulgesetz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Landtag des Freistaates Bayern hat das folgende Gesetz beschlossen, das nach Anhörung des Senats hiermit bekanntgemacht wird:</w:t>
      </w:r>
    </w:p>
    <w:p>
      <w:r>
        <w:rPr>
          <w:color w:val="555555"/>
          <w:sz w:val="17"/>
        </w:rPr>
        <w:t xml:space="preserve">Zitiervorschlag: Eingangsformel BayVwSG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https://recht.nulegal.eu/gesetze/BayVwSG/eingangsformel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