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14 BayVwSG (Bayern) — Inkrafttreten</w:t>
      </w:r>
    </w:p>
    <w:p>
      <w:r>
        <w:rPr>
          <w:color w:val="555555"/>
          <w:sz w:val="18"/>
        </w:rPr>
        <w:t xml:space="preserve">Bayerisches Verwaltungsschulgesetz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Juli 1998 in Kraft.</w:t>
      </w:r>
    </w:p>
    <w:p>
      <w:r>
        <w:rPr>
          <w:color w:val="555555"/>
          <w:sz w:val="17"/>
        </w:rPr>
        <w:t xml:space="preserve">Zitiervorschlag: Art 14 BayVwSG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https://recht.nulegal.eu/gesetze/BayVwSG/14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14 BayVwSG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