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BayVollstrVV (Bayern)</w:t>
      </w:r>
    </w:p>
    <w:p>
      <w:r>
        <w:rPr>
          <w:color w:val="555555"/>
          <w:sz w:val="18"/>
        </w:rPr>
        <w:t xml:space="preserve">Bayerische Vollstreckungsvergütungsverordnung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14 Satz 2 Halbsatz 2 und des Art. 63 Abs. 1 Satz 1 des Bayerischen Besoldungsgesetzes (BayBesG) vom 5. August 2010 (GVBl. S. 410, 764, BayRS 2032-1-1-F), das zuletzt durch § 3 des Gesetzes vom 24. Juli 2015 (GVBl. S. 266) geändert worden ist, verordnet die Bayerische Staatsregierung:</w:t>
      </w:r>
    </w:p>
    <w:p>
      <w:r>
        <w:rPr>
          <w:color w:val="555555"/>
          <w:sz w:val="17"/>
        </w:rPr>
        <w:t xml:space="preserve">Zitiervorschlag: Eingangsformel BayVollstrVV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https://recht.nulegal.eu/gesetze/BayVollstrVV/eingangsformel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