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BayVollstrVV (Bayern) — Inkrafttreten</w:t>
      </w:r>
    </w:p>
    <w:p>
      <w:r>
        <w:rPr>
          <w:color w:val="555555"/>
          <w:sz w:val="18"/>
        </w:rPr>
        <w:t xml:space="preserve">Bayerische Vollstreckungsvergütungsverordnung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Januar 2015 in Kraft.</w:t>
      </w:r>
    </w:p>
    <w:p>
      <w:r>
        <w:t xml:space="preserve">(2) Abweichend von Abs. 1 tritt § 2 am 1. Januar 2016 in Kraft.</w:t>
      </w:r>
    </w:p>
    <w:p>
      <w:r>
        <w:rPr>
          <w:color w:val="555555"/>
          <w:sz w:val="17"/>
        </w:rPr>
        <w:t xml:space="preserve">Zitiervorschlag: § 6 BayVollstrVV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https://recht.nulegal.eu/gesetze/BayVollstrVV/6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BayVollstrVV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