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BayVollstrVV (Bayern) — Gerichtsvollzieher</w:t>
      </w:r>
    </w:p>
    <w:p>
      <w:r>
        <w:rPr>
          <w:color w:val="555555"/>
          <w:sz w:val="18"/>
        </w:rPr>
        <w:t xml:space="preserve">Bayerische Vollstreckungsvergütungsverordnung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Sowohl die planmäßig als auch die hilfsweise beschäftigten Beamtinnen und Beamten im Gerichtsvollzieherdienst, die im Außendienst verwendet werden, erhalten eine Vergütung in Höhe von 15 % der durch die Beamtin oder den Beamten für die Erledigung der Aufträge vereinnahmten Gebühren.</w:t>
      </w:r>
    </w:p>
    <w:p>
      <w:r>
        <w:t xml:space="preserve">(2) Die Amtsgerichte setzen für die bei ihnen beschäftigten Beamtinnen und Beamten die Vergütung fest. Die steuerliche Berücksichtigung dieser Vergütung erfolgt durch das Landesamt für Finanzen.</w:t>
      </w:r>
    </w:p>
    <w:p>
      <w:r>
        <w:rPr>
          <w:color w:val="555555"/>
          <w:sz w:val="17"/>
        </w:rPr>
        <w:t xml:space="preserve">Zitiervorschlag: § 1 BayVollstrVV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https://recht.nulegal.eu/gesetze/BayVollstrVV/1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