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BayVkV (Bayern)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90 Abs. 1 Nrn. 3 und 5 der Bayerischen Bauordnung (BayBO) und Art. 38 Abs. 3 des Landesstraf- und Verordnungsgesetzes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