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BayVkV (Bayern) — Außenwände</w:t>
      </w:r>
    </w:p>
    <w:p>
      <w:r>
        <w:rPr>
          <w:color w:val="555555"/>
          <w:sz w:val="18"/>
        </w:rPr>
        <w:t xml:space="preserve">Bayerische Verkaufsstättenverordnung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Außenwände sind herzustellen</w:t>
      </w:r>
    </w:p>
    <w:p>
      <w:r>
        <w:t xml:space="preserve">1. in erdgeschossigen Verkaufsstätten aus mindestens schwerentflammbaren Baustoffen, soweit sie nicht mindestens feuerhemmend sind,</w:t>
      </w:r>
    </w:p>
    <w:p>
      <w:r>
        <w:t xml:space="preserve">2. in sonstigen Verkaufsstätten aus nichtbrennbaren Baustoffen, soweit sie nicht feuerbeständig sind.</w:t>
      </w:r>
    </w:p>
    <w:p>
      <w:r>
        <w:rPr>
          <w:color w:val="555555"/>
          <w:sz w:val="17"/>
        </w:rPr>
        <w:t xml:space="preserve">Zitiervorschlag: § 4 BayVkV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https://recht.nulegal.eu/gesetze/BayVkV/4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