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BayVkV (Bayern) — Tragende Wände, Pfeiler und Stützen</w:t>
      </w:r>
    </w:p>
    <w:p>
      <w:r>
        <w:rPr>
          <w:color w:val="555555"/>
          <w:sz w:val="18"/>
        </w:rPr>
        <w:t xml:space="preserve">Bayerische Verkaufsstättenverordnung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Tragende Wände, Pfeiler und Stützen sind</w:t>
      </w:r>
    </w:p>
    <w:p>
      <w:r>
        <w:t xml:space="preserve">1. in erdgeschossigen Verkaufsstätten mit Sprinkleranlagen ohne Feuerwiderstandsfähigkeit zulässig,</w:t>
      </w:r>
    </w:p>
    <w:p>
      <w:r>
        <w:t xml:space="preserve">2. in erdgeschossigen Verkaufsstätten ohne Sprinkleranlagen mindestens feuerhemmend herzustellen,</w:t>
      </w:r>
    </w:p>
    <w:p>
      <w:r>
        <w:t xml:space="preserve">3. in sonstigen Verkaufsstätten feuerbeständig herzustellen.</w:t>
      </w:r>
    </w:p>
    <w:p>
      <w:r>
        <w:rPr>
          <w:color w:val="555555"/>
          <w:sz w:val="17"/>
        </w:rPr>
        <w:t xml:space="preserve">Zitiervorschlag: § 3 BayVkV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https://recht.nulegal.eu/gesetze/BayVkV/3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