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BayVkV (Bayern) — Stellplätze für Menschen mit Behinderung</w:t>
      </w:r>
    </w:p>
    <w:p>
      <w:r>
        <w:rPr>
          <w:color w:val="555555"/>
          <w:sz w:val="18"/>
        </w:rPr>
        <w:t xml:space="preserve">Bayerische Verkaufsstättenverordnung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Mindestens drei v. H. der notwendigen Stellplätze, mindestens jedoch ein Stellplatz, müssen für Menschen mit Behinderung vorgesehen sein. Auf diese Stellplätze ist dauerhaft und leicht erkennbar hinzuweisen.</w:t>
      </w:r>
    </w:p>
    <w:p>
      <w:r>
        <w:rPr>
          <w:color w:val="555555"/>
          <w:sz w:val="17"/>
        </w:rPr>
        <w:t xml:space="preserve">Zitiervorschlag: § 28 BayVkV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https://recht.nulegal.eu/gesetze/BayVkV/28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