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BayVkV (Bayern) — Feuerlöscheinrichtungen, Brandmeldeanlagen und Alarmierungseinrichtungen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Verkaufsstätten müssen Sprinkleranlagen haben. Dies gilt nicht für</w:t>
      </w:r>
    </w:p>
    <w:p>
      <w:r>
        <w:t xml:space="preserve">1. erdgeschossige Verkaufsstätten mit nicht mehr als 3.000 m 2 Fläche der Brandabschnitte,</w:t>
      </w:r>
    </w:p>
    <w:p>
      <w:r>
        <w:t xml:space="preserve">2. sonstige Verkaufsstätten, wenn sie sich über nicht mehr als drei Geschosse erstrecken und die Gesamtfläche aller Geschosse innerhalb eines Brandabschnitts nicht mehr als 3.000 m 2 beträgt.</w:t>
      </w:r>
    </w:p>
    <w:p>
      <w:r>
        <w:t xml:space="preserve">Verkaufsstätten nach Satz 2 Nr. 2 müssen Sprinkleranlagen haben, wenn sie Verkaufsräume mit einer Nutzfläche von mehr als 500 m 2 haben, die mit ihrem Fußboden im Mittel mehr als 3 m unter der Geländeoberfläche liegen.</w:t>
      </w:r>
    </w:p>
    <w:p>
      <w:r>
        <w:t xml:space="preserve">(2) In Verkaufsstätten müssen vorhanden sein:</w:t>
      </w:r>
    </w:p>
    <w:p>
      <w:r>
        <w:t xml:space="preserve">1. geeignete Feuerlöscher und Wandhydranten an geeigneter Stelle in ausreichender Zahl, gut sichtbar und leicht zugänglich,</w:t>
      </w:r>
    </w:p>
    <w:p>
      <w:r>
        <w:t xml:space="preserve">2. geeignete Brandmeldeanlagen zur unmittelbaren Alarmierung der dafür zuständigen Stelle und</w:t>
      </w:r>
    </w:p>
    <w:p>
      <w:r>
        <w:t xml:space="preserve">3. Alarmierungseinrichtungen, durch die alle Betriebsangehörigen alarmiert und Anweisungen an sie und an die Kunden gegeben werden können.</w:t>
      </w:r>
    </w:p>
    <w:p>
      <w:r>
        <w:t xml:space="preserve">(3) Es kann verlangt werden, daß das Auslösen von Sprinkleranlagen oder die Meldung von Brandmeldeanlagen der Feuerwehr selbsttätig gemeldet werden.</w:t>
      </w:r>
    </w:p>
    <w:p>
      <w:r>
        <w:rPr>
          <w:color w:val="555555"/>
          <w:sz w:val="17"/>
        </w:rPr>
        <w:t xml:space="preserve">Zitiervorschlag: § 20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