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BayVkV (Bayern) — Blitzschutzanlagen</w:t>
      </w:r>
    </w:p>
    <w:p>
      <w:r>
        <w:rPr>
          <w:color w:val="555555"/>
          <w:sz w:val="18"/>
        </w:rPr>
        <w:t xml:space="preserve">Bayerische Verkaufsstättenverordnung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Gebäude mit Verkaufsstätten müssen Blitzschutzanlagen haben.</w:t>
      </w:r>
    </w:p>
    <w:p>
      <w:r>
        <w:rPr>
          <w:color w:val="555555"/>
          <w:sz w:val="17"/>
        </w:rPr>
        <w:t xml:space="preserve">Zitiervorschlag: § 19 BayVkV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https://recht.nulegal.eu/gesetze/BayVkV/19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