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BayVkV (Bayern) — Sicherheitsbeleuchtung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Verkaufsstätten müssen eine Sicherheitsbeleuchtung haben</w:t>
      </w:r>
    </w:p>
    <w:p>
      <w:r>
        <w:t xml:space="preserve">1. in Verkaufsräumen,</w:t>
      </w:r>
    </w:p>
    <w:p>
      <w:r>
        <w:t xml:space="preserve">2. in Rettungswegen,</w:t>
      </w:r>
    </w:p>
    <w:p>
      <w:r>
        <w:t xml:space="preserve">3. in Arbeits- und Pausenräumen,</w:t>
      </w:r>
    </w:p>
    <w:p>
      <w:r>
        <w:t xml:space="preserve">4. in Toilettenräumen,</w:t>
      </w:r>
    </w:p>
    <w:p>
      <w:r>
        <w:t xml:space="preserve">5. in elektrischen Betriebsräumen und Räumen für haustechnische Anlagen,</w:t>
      </w:r>
    </w:p>
    <w:p>
      <w:r>
        <w:t xml:space="preserve">6. für Hinweisschilder auf Ausgänge und für Stufenbeleuchtung.</w:t>
      </w:r>
    </w:p>
    <w:p>
      <w:r>
        <w:rPr>
          <w:color w:val="555555"/>
          <w:sz w:val="17"/>
        </w:rPr>
        <w:t xml:space="preserve">Zitiervorschlag: § 18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