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BayVirtHSchV (Bayern)</w:t>
      </w:r>
    </w:p>
    <w:p>
      <w:r>
        <w:rPr>
          <w:color w:val="555555"/>
          <w:sz w:val="18"/>
        </w:rPr>
        <w:t xml:space="preserve">Verordnung über die Virtuelle Hochschule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55 Abs. 2 Satz 1 in Verbindung mit Art. 135 Abs. 2 Satz 1 des Bayerischen Hochschulgesetzes (BayHSchG) in der Fassung der Bekanntmachung vom 2. Oktober 1998 (GVBl S. 740, BayRS 2210-1-1-WFK), geändert durch § 5 des Gesetzes vom 22. Juli 1999 (GVBl S. 300), erlässt das Bayerische Staatsministerium für Wissenschaft, Forschung und Kunst folgende Verordnung:</w:t>
      </w:r>
    </w:p>
    <w:p>
      <w:r>
        <w:rPr>
          <w:color w:val="555555"/>
          <w:sz w:val="17"/>
        </w:rPr>
        <w:t xml:space="preserve">Zitiervorschlag: Eingangsformel BayVirtHSchV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https://recht.nulegal.eu/gesetze/BayVirtHSchV/eingangsformel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