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BayVirtHSchV (Bayern) — Geschäftsführer</w:t>
      </w:r>
    </w:p>
    <w:p>
      <w:r>
        <w:rPr>
          <w:color w:val="555555"/>
          <w:sz w:val="18"/>
        </w:rPr>
        <w:t xml:space="preserve">Verordnung über die Virtuelle Hochschule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Geschäftsführer unterstützt das Präsidium und die Programmkommission bei der Erledigung der Rechts- und Verwaltungsangelegenheiten und führt die Geschäfte der laufenden Verwaltung der Virtuellen Hochschule Bayern. Er ist Beauftragter für den Haushalt im Sinn von Art. 9 der Bayerischen Haushaltsordnung und Vorgesetzter für das Personal der Geschäftsstelle.</w:t>
      </w:r>
    </w:p>
    <w:p>
      <w:r>
        <w:rPr>
          <w:color w:val="555555"/>
          <w:sz w:val="17"/>
        </w:rPr>
        <w:t xml:space="preserve">Zitiervorschlag: § 6 BayVirtHSchV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https://recht.nulegal.eu/gesetze/BayVirtHSchV/6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