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BayVerwFachAngIHK (Bayern)</w:t>
      </w:r>
    </w:p>
    <w:p>
      <w:r>
        <w:rPr>
          <w:color w:val="555555"/>
          <w:sz w:val="18"/>
        </w:rPr>
        <w:t xml:space="preserve">Verordnung über die Berufsausbildung zum Verwaltungsfachangestellten in der Fachrichtung Handwerksorganisation und Industrie- und Handelskammern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Kenntnisse und Fertigkeiten nach § 3 Abs. 2 Nr. 4 der Verordnung über die Berufsausbildung zum Verwaltungsfachangestellten vom 2. Juli 1979 (BGBl. I S. 886) sollen nach der in der Anlage enthaltenen Anleitung zur sachlichen und zeitlichen Gliederung der Berufsausbildung (Ausbildungsrahmenplan) vermittelt werden.</w:t>
      </w:r>
    </w:p>
    <w:p>
      <w:r>
        <w:t xml:space="preserve">[Amtl. Anm.:] Nunmehr Verordnung über die Berufsausbildung zum Verwaltungsfachangestellten/zur Verwaltungsfachangestellten, BGBl. FN 800-21-1-69</w:t>
      </w:r>
    </w:p>
    <w:p>
      <w:r>
        <w:rPr>
          <w:color w:val="555555"/>
          <w:sz w:val="17"/>
        </w:rPr>
        <w:t xml:space="preserve">Zitiervorschlag: § 1 BayVerwFachAngIHK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https://recht.nulegal.eu/gesetze/BayVerwFachAngIHK/1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