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BayVerwFachAngAusbV (Bayern) — In-Kraft-Treten</w:t>
      </w:r>
    </w:p>
    <w:p>
      <w:r>
        <w:rPr>
          <w:color w:val="555555"/>
          <w:sz w:val="18"/>
        </w:rPr>
        <w:t xml:space="preserve">Verordnung über die Berufsausbildung zum Verwaltungsfachangestellten/zur Verwaltungsfachangestellten in der Fachrichtung allgemeine innere Verwaltung des Freistaates Bayern und Kommunalverwaltung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August 1999 in Kraft.</w:t>
      </w:r>
    </w:p>
    <w:p>
      <w:r>
        <w:t xml:space="preserve">(2) Mit Ablauf des 31. Juli 1999 tritt die Verordnung über die Berufsausbildung zum Verwaltungsfachangestellten in der Fachrichtung allgemeine innere Verwaltung des Freistaates Bayern und Kommunalverwaltung vom 5. Oktober 1984 (GVBl S. 439, BayRS 800-21-24-I), geändert durch Verordnung vom 25. Januar 1993 (GVBl S. 61, ber. S. 163), außer Kraft.</w:t>
      </w:r>
    </w:p>
    <w:p>
      <w:r>
        <w:rPr>
          <w:color w:val="555555"/>
          <w:sz w:val="17"/>
        </w:rPr>
        <w:t xml:space="preserve">Zitiervorschlag: § 4 BayVerwFachAngAusbV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https://recht.nulegal.eu/gesetze/BayVerwFachAngAusbV/4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