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BayVerwFachAngAusbV (Bayern) — Übergangsregelung</w:t>
      </w:r>
    </w:p>
    <w:p>
      <w:r>
        <w:rPr>
          <w:color w:val="555555"/>
          <w:sz w:val="18"/>
        </w:rPr>
        <w:t xml:space="preserve">Verordnung über die Berufsausbildung zum Verwaltungsfachangestellten/zur Verwaltungsfachangestellten in der Fachrichtung allgemeine innere Verwaltung des Freistaates Bayern und Kommunalverwaltung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Berufsausbildungsverhältnisse, die bei In-Kraft-Treten dieser Verordnung bestehen, sind die bisherigen Vorschriften weiter anzuwenden, es sei denn, die Vertragsparteien vereinbaren die Anwendung dieser Verordnung.</w:t>
      </w:r>
    </w:p>
    <w:p>
      <w:r>
        <w:rPr>
          <w:color w:val="555555"/>
          <w:sz w:val="17"/>
        </w:rPr>
        <w:t xml:space="preserve">Zitiervorschlag: § 3 BayVerwFachAngAusbV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https://recht.nulegal.eu/gesetze/BayVerwFachAngAusbV/3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