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BayVerwFachAngAusbV (Bayern) — Ausbildungsgegenstand, Ausbildungsrahmenplan</w:t>
      </w:r>
    </w:p>
    <w:p>
      <w:r>
        <w:rPr>
          <w:color w:val="555555"/>
          <w:sz w:val="18"/>
        </w:rPr>
        <w:t xml:space="preserve">Verordnung über die Berufsausbildung zum Verwaltungsfachangestellten/zur Verwaltungsfachangestellten in der Fachrichtung allgemeine innere Verwaltung des Freistaates Bayern und Kommunalverwaltung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Gegenstand der Berufsausbildung in dieser Fachrichtung sind folgende Kenntnisse und Fertigkeiten:</w:t>
      </w:r>
    </w:p>
    <w:p>
      <w:r>
        <w:t xml:space="preserve">1. fallbezogene Rechtsanwendung,</w:t>
      </w:r>
    </w:p>
    <w:p>
      <w:r>
        <w:t xml:space="preserve">2. Handeln in Gebieten des besonderen Verwaltungsrechts (Leistungs- und Eingriffsverwaltung),</w:t>
      </w:r>
    </w:p>
    <w:p>
      <w:r>
        <w:t xml:space="preserve">3. Kommunalrecht.</w:t>
      </w:r>
    </w:p>
    <w:p>
      <w:r>
        <w:t xml:space="preserve">(2) Die Kenntnisse und Fertigkeiten nach Absatz 1 sollen nach der in den Anlagen 1 und 2 enthaltenen Anleitung zur sachlichen und zeitlichen Gliederung der Berufsausbildung (Ausbildungsrahmenplan) vermittelt werden.</w:t>
      </w:r>
    </w:p>
    <w:p>
      <w:r>
        <w:rPr>
          <w:color w:val="555555"/>
          <w:sz w:val="17"/>
        </w:rPr>
        <w:t xml:space="preserve">Zitiervorschlag: § 2 BayVerwFachAngAusbV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https://recht.nulegal.eu/gesetze/BayVerwFachAngAusbV/2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