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4 BayVersRücklG (Bayern) — Rechtsform</w:t>
      </w:r>
    </w:p>
    <w:p>
      <w:r>
        <w:rPr>
          <w:color w:val="555555"/>
          <w:sz w:val="18"/>
        </w:rPr>
        <w:t xml:space="preserve">Gesetz über die Bildung von Versorgungsrücklagen im Freistaat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Sondervermögen ist nicht rechtsfähig. Es kann unter seinem Namen im rechtsgeschäftlichen Verkehr handeln, klagen und verklagt werden. Der allgemeine Gerichtsstand des Sondervermögens ist München.</w:t>
      </w:r>
    </w:p>
    <w:p>
      <w:r>
        <w:rPr>
          <w:color w:val="555555"/>
          <w:sz w:val="17"/>
        </w:rPr>
        <w:t xml:space="preserve">Zitiervorschlag: Art 4 BayVersRücklG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https://recht.nulegal.eu/gesetze/BayVersR%C3%BCcklG/4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4 BayVersRücklG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