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BayVersRücklG (Bayern) — Inkrafttreten, Außerkrafttreten</w:t>
      </w:r>
    </w:p>
    <w:p>
      <w:r>
        <w:rPr>
          <w:color w:val="555555"/>
          <w:sz w:val="18"/>
        </w:rPr>
        <w:t xml:space="preserve">Gesetz über die Bildung von Versorgungsrücklagen im Freistaat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Dieses Gesetz tritt am 1. Januar 2013 in Kraft.</w:t>
      </w:r>
    </w:p>
    <w:p>
      <w:r>
        <w:t xml:space="preserve">(2) Mit Ablauf des 31. Dezember 2012 tritt das Gesetz über die Bildung von Versorgungsrücklagen im Freistaat Bayern (BayVersRücklG) vom 26. Juli 1999 (GVBl S. 309, BayRS 2032-0-F), zuletzt geändert durch § 7 des Gesetzes vom 30. März 2012 (GVBl S. 94), außer Kraft.</w:t>
      </w:r>
    </w:p>
    <w:p>
      <w:r>
        <w:rPr>
          <w:color w:val="555555"/>
          <w:sz w:val="17"/>
        </w:rPr>
        <w:t xml:space="preserve">Zitiervorschlag: Art 21 BayVersRücklG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https://recht.nulegal.eu/gesetze/BayVersR%C3%BCcklG/21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