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BayVersG (Bayern) — Uniformierungs- und Militanzverbot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ist verboten,</w:t>
      </w:r>
    </w:p>
    <w:p>
      <w:r>
        <w:t xml:space="preserve">1. in einer öffentlichen oder nichtöffentlichen Versammlung Uniformen, Uniformteile oder gleichartige Kleidungsstücke als Ausdruck einer gemeinsamen politischen Gesinnung zu tragen oder</w:t>
      </w:r>
    </w:p>
    <w:p>
      <w:r>
        <w:t xml:space="preserve">2. an einer öffentlichen oder nichtöffentlichen Versammlung in einer Art und Weise teilzunehmen, die dazu beiträgt, dass die Versammlung oder ein Teil hiervon nach dem äußeren Erscheinungsbild paramilitärisch geprägt wird,</w:t>
      </w:r>
    </w:p>
    <w:p>
      <w:r>
        <w:t xml:space="preserve">sofern dadurch eine einschüchternde Wirkung entsteht.</w:t>
      </w:r>
    </w:p>
    <w:p>
      <w:r>
        <w:rPr>
          <w:color w:val="555555"/>
          <w:sz w:val="17"/>
        </w:rPr>
        <w:t xml:space="preserve">Zitiervorschlag: Art 7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